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883"/>
        <w:gridCol w:w="5305"/>
      </w:tblGrid>
      <w:tr w:rsidR="000330D2" w:rsidRPr="00E7778C" w:rsidTr="00E7778C">
        <w:tc>
          <w:tcPr>
            <w:tcW w:w="2845" w:type="dxa"/>
          </w:tcPr>
          <w:p w:rsidR="000330D2" w:rsidRPr="00E7778C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5343" w:type="dxa"/>
          </w:tcPr>
          <w:p w:rsidR="000330D2" w:rsidRPr="00E7778C" w:rsidRDefault="000A5860" w:rsidP="00E77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Prosedur ini disusun untuk menjadi acuan dalam </w:t>
            </w:r>
            <w:r w:rsidR="00CA51D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pemeliharaan sarpras</w:t>
            </w: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</w:t>
            </w:r>
            <w:r w:rsidR="00CA51D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E7778C" w:rsidTr="00E7778C">
        <w:trPr>
          <w:trHeight w:val="612"/>
        </w:trPr>
        <w:tc>
          <w:tcPr>
            <w:tcW w:w="2845" w:type="dxa"/>
          </w:tcPr>
          <w:p w:rsidR="000330D2" w:rsidRPr="00E7778C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Ruang</w:t>
            </w:r>
            <w:r w:rsidR="00E7778C" w:rsidRPr="00E7778C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E7778C">
              <w:rPr>
                <w:b/>
                <w:sz w:val="24"/>
                <w:szCs w:val="24"/>
              </w:rPr>
              <w:t>Lingkup</w:t>
            </w:r>
          </w:p>
        </w:tc>
        <w:tc>
          <w:tcPr>
            <w:tcW w:w="5343" w:type="dxa"/>
          </w:tcPr>
          <w:p w:rsidR="000330D2" w:rsidRPr="00E7778C" w:rsidRDefault="000A5860" w:rsidP="00E7778C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prosedur meliputi </w:t>
            </w:r>
            <w:r w:rsidR="00764EE4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identifikasi sarpras, jadwal pemeliharaan, pelaksanaan pemeliharaan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E7778C" w:rsidTr="00E7778C">
        <w:tc>
          <w:tcPr>
            <w:tcW w:w="2845" w:type="dxa"/>
          </w:tcPr>
          <w:p w:rsidR="000330D2" w:rsidRPr="00E7778C" w:rsidRDefault="00D50C2F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0330D2" w:rsidRPr="00E7778C">
              <w:rPr>
                <w:b/>
                <w:sz w:val="24"/>
                <w:szCs w:val="24"/>
              </w:rPr>
              <w:t>erensi</w:t>
            </w:r>
          </w:p>
        </w:tc>
        <w:tc>
          <w:tcPr>
            <w:tcW w:w="5343" w:type="dxa"/>
          </w:tcPr>
          <w:p w:rsidR="00461F80" w:rsidRPr="00B75BE3" w:rsidRDefault="000A5860" w:rsidP="00B75BE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ISO 9001:2008 klausal 6.</w:t>
            </w:r>
            <w:r w:rsidR="00764EE4" w:rsidRPr="00B75BE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  <w:r w:rsidRPr="00B75BE3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.</w:t>
            </w:r>
          </w:p>
          <w:p w:rsidR="00D50C2F" w:rsidRPr="00B75BE3" w:rsidRDefault="00D50C2F" w:rsidP="00B75BE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3">
              <w:rPr>
                <w:rFonts w:ascii="Times New Roman" w:hAnsi="Times New Roman"/>
                <w:bCs/>
                <w:sz w:val="24"/>
                <w:szCs w:val="24"/>
              </w:rPr>
              <w:t>UU RI No. 12 Tahun 2012 tentang Pendidikan Tinggi;</w:t>
            </w:r>
          </w:p>
          <w:p w:rsidR="00D50C2F" w:rsidRPr="00B75BE3" w:rsidRDefault="00D50C2F" w:rsidP="00B75BE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3">
              <w:rPr>
                <w:rFonts w:ascii="Times New Roman" w:hAnsi="Times New Roman"/>
                <w:bCs/>
                <w:sz w:val="24"/>
                <w:szCs w:val="24"/>
              </w:rPr>
              <w:t>UU RI No. 20 Tahun 2003 tentang Sistem Pendidikan Nasional;</w:t>
            </w:r>
          </w:p>
          <w:p w:rsidR="00D50C2F" w:rsidRPr="00B75BE3" w:rsidRDefault="00D50C2F" w:rsidP="00B75BE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3">
              <w:rPr>
                <w:rFonts w:ascii="Times New Roman" w:hAnsi="Times New Roman"/>
                <w:bCs/>
                <w:sz w:val="24"/>
                <w:szCs w:val="24"/>
              </w:rPr>
              <w:t>PERMENDIKNAS RI No. 19 Tahun 2005 tentang Standar Nasional Pendidikan;</w:t>
            </w:r>
          </w:p>
          <w:p w:rsidR="00D50C2F" w:rsidRPr="00B75BE3" w:rsidRDefault="00D50C2F" w:rsidP="00B75BE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3">
              <w:rPr>
                <w:rFonts w:ascii="Times New Roman" w:hAnsi="Times New Roman"/>
                <w:bCs/>
                <w:sz w:val="24"/>
                <w:szCs w:val="24"/>
              </w:rPr>
              <w:t xml:space="preserve">Departemen Pendidikan Nasional Dirjen Pendidikan Tinggi Indonesia :”Sistem Penjaminan Mutu Perguruan Tinggi” Tahun 2010; </w:t>
            </w:r>
          </w:p>
          <w:p w:rsidR="00D50C2F" w:rsidRPr="00D50C2F" w:rsidRDefault="00D50C2F" w:rsidP="00B75BE3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3">
              <w:rPr>
                <w:rFonts w:ascii="Times New Roman" w:hAnsi="Times New Roman"/>
                <w:bCs/>
                <w:sz w:val="24"/>
                <w:szCs w:val="24"/>
              </w:rPr>
              <w:t>BAN PT Instrumen dan Pedoman Akreditasi Institusi Perguruan Tinggi (Buku I,II,III,IV,V,Vi,VII) Tahun 2011</w:t>
            </w:r>
          </w:p>
        </w:tc>
      </w:tr>
      <w:tr w:rsidR="00F20E1B" w:rsidRPr="00E7778C" w:rsidTr="00E7778C">
        <w:tc>
          <w:tcPr>
            <w:tcW w:w="2845" w:type="dxa"/>
          </w:tcPr>
          <w:p w:rsidR="00F20E1B" w:rsidRPr="00E7778C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Definisi/PenjelasanUmum</w:t>
            </w:r>
          </w:p>
        </w:tc>
        <w:tc>
          <w:tcPr>
            <w:tcW w:w="5343" w:type="dxa"/>
          </w:tcPr>
          <w:p w:rsidR="00D91C6C" w:rsidRPr="00E7778C" w:rsidRDefault="00764EE4" w:rsidP="00E7778C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Pemeliharaan sarpras dimaksud adalah sarpras yang berada dalam tanggung jawab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0C6B1E" w:rsidRPr="00E7778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E7778C" w:rsidTr="00E7778C">
        <w:tc>
          <w:tcPr>
            <w:tcW w:w="2845" w:type="dxa"/>
          </w:tcPr>
          <w:p w:rsidR="00F20E1B" w:rsidRPr="00E7778C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Rekaman</w:t>
            </w:r>
            <w:r w:rsidR="00E7778C" w:rsidRPr="00E7778C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E7778C">
              <w:rPr>
                <w:b/>
                <w:sz w:val="24"/>
                <w:szCs w:val="24"/>
              </w:rPr>
              <w:t>Mutu</w:t>
            </w:r>
          </w:p>
        </w:tc>
        <w:tc>
          <w:tcPr>
            <w:tcW w:w="5343" w:type="dxa"/>
          </w:tcPr>
          <w:p w:rsidR="00F20E1B" w:rsidRPr="00E7778C" w:rsidRDefault="00764EE4" w:rsidP="00E7778C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Jadwal pemeliharaan, kartu pemeliharaan</w:t>
            </w:r>
            <w:r w:rsidR="00E7778C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E7778C" w:rsidTr="00E7778C">
        <w:tc>
          <w:tcPr>
            <w:tcW w:w="2845" w:type="dxa"/>
          </w:tcPr>
          <w:p w:rsidR="00F20E1B" w:rsidRPr="00E7778C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Sasaran</w:t>
            </w:r>
            <w:r w:rsidR="00E7778C" w:rsidRPr="00E7778C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E7778C">
              <w:rPr>
                <w:b/>
                <w:sz w:val="24"/>
                <w:szCs w:val="24"/>
              </w:rPr>
              <w:t>Kinerja</w:t>
            </w:r>
          </w:p>
        </w:tc>
        <w:tc>
          <w:tcPr>
            <w:tcW w:w="5343" w:type="dxa"/>
          </w:tcPr>
          <w:p w:rsidR="00F20E1B" w:rsidRPr="00E7778C" w:rsidRDefault="00764EE4" w:rsidP="00E7778C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Sarpras dilakukan pemeliharaan secara periodik</w:t>
            </w:r>
            <w:r w:rsidR="00E7778C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F20E1B" w:rsidRPr="00F20E1B" w:rsidRDefault="00F20E1B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F20E1B" w:rsidRPr="00F20E1B" w:rsidRDefault="00F20E1B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</w:p>
    <w:p w:rsidR="00212EC6" w:rsidRPr="00E7778C" w:rsidRDefault="00212EC6" w:rsidP="00E7778C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id-ID"/>
        </w:rPr>
      </w:pPr>
    </w:p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000000"/>
        </w:tblBorders>
        <w:tblLook w:val="04A0"/>
      </w:tblPr>
      <w:tblGrid>
        <w:gridCol w:w="510"/>
        <w:gridCol w:w="2800"/>
        <w:gridCol w:w="1537"/>
        <w:gridCol w:w="1832"/>
        <w:gridCol w:w="1509"/>
      </w:tblGrid>
      <w:tr w:rsidR="00E7778C" w:rsidRPr="00E7778C" w:rsidTr="007802AB">
        <w:trPr>
          <w:trHeight w:val="440"/>
          <w:tblHeader/>
        </w:trPr>
        <w:tc>
          <w:tcPr>
            <w:tcW w:w="51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E7778C" w:rsidRPr="00E7778C" w:rsidRDefault="00E7778C" w:rsidP="00E7778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0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E7778C" w:rsidRPr="00E7778C" w:rsidRDefault="00E7778C" w:rsidP="00CE5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Aktivitas</w:t>
            </w:r>
          </w:p>
        </w:tc>
        <w:tc>
          <w:tcPr>
            <w:tcW w:w="153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E7778C" w:rsidRPr="00E7778C" w:rsidRDefault="00E7778C" w:rsidP="00CE5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Pelaksana</w:t>
            </w:r>
          </w:p>
        </w:tc>
        <w:tc>
          <w:tcPr>
            <w:tcW w:w="183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E7778C" w:rsidRPr="00E7778C" w:rsidRDefault="00E7778C" w:rsidP="00CE5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Penanggung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E7778C">
              <w:rPr>
                <w:b/>
                <w:sz w:val="24"/>
                <w:szCs w:val="24"/>
              </w:rPr>
              <w:t>Jawab</w:t>
            </w:r>
          </w:p>
        </w:tc>
        <w:tc>
          <w:tcPr>
            <w:tcW w:w="150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E7778C" w:rsidRPr="00E7778C" w:rsidRDefault="00E7778C" w:rsidP="00CE5F2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778C">
              <w:rPr>
                <w:b/>
                <w:sz w:val="24"/>
                <w:szCs w:val="24"/>
              </w:rPr>
              <w:t>Rekaman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E7778C">
              <w:rPr>
                <w:b/>
                <w:sz w:val="24"/>
                <w:szCs w:val="24"/>
              </w:rPr>
              <w:t>Mutu</w:t>
            </w:r>
          </w:p>
        </w:tc>
      </w:tr>
      <w:tr w:rsidR="00E7778C" w:rsidRPr="00E7778C" w:rsidTr="007802AB">
        <w:trPr>
          <w:trHeight w:val="554"/>
        </w:trPr>
        <w:tc>
          <w:tcPr>
            <w:tcW w:w="510" w:type="dxa"/>
            <w:tcBorders>
              <w:top w:val="thinThickSmallGap" w:sz="12" w:space="0" w:color="auto"/>
            </w:tcBorders>
          </w:tcPr>
          <w:p w:rsidR="00E7778C" w:rsidRPr="00E7778C" w:rsidRDefault="00E7778C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800" w:type="dxa"/>
            <w:tcBorders>
              <w:top w:val="thinThickSmallGap" w:sz="12" w:space="0" w:color="auto"/>
            </w:tcBorders>
            <w:vAlign w:val="center"/>
          </w:tcPr>
          <w:p w:rsidR="00E7778C" w:rsidRPr="00E7778C" w:rsidRDefault="00E7778C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Mengidentifikasi aset yang prioritas untuk dilakukan pemeliharaan</w:t>
            </w:r>
          </w:p>
        </w:tc>
        <w:tc>
          <w:tcPr>
            <w:tcW w:w="1537" w:type="dxa"/>
            <w:tcBorders>
              <w:top w:val="thinThickSmallGap" w:sz="12" w:space="0" w:color="auto"/>
            </w:tcBorders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Staf TU</w:t>
            </w:r>
          </w:p>
        </w:tc>
        <w:tc>
          <w:tcPr>
            <w:tcW w:w="1832" w:type="dxa"/>
            <w:tcBorders>
              <w:top w:val="thinThickSmallGap" w:sz="12" w:space="0" w:color="auto"/>
            </w:tcBorders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509" w:type="dxa"/>
            <w:tcBorders>
              <w:top w:val="thinThickSmallGap" w:sz="12" w:space="0" w:color="auto"/>
            </w:tcBorders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E7778C" w:rsidRPr="00E7778C" w:rsidTr="007802AB">
        <w:trPr>
          <w:trHeight w:val="562"/>
        </w:trPr>
        <w:tc>
          <w:tcPr>
            <w:tcW w:w="510" w:type="dxa"/>
          </w:tcPr>
          <w:p w:rsidR="00E7778C" w:rsidRPr="00E7778C" w:rsidRDefault="00E7778C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</w:rPr>
              <w:lastRenderedPageBreak/>
              <w:t>2</w:t>
            </w:r>
            <w:r w:rsidRPr="00E7778C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00" w:type="dxa"/>
            <w:vAlign w:val="center"/>
          </w:tcPr>
          <w:p w:rsidR="00E7778C" w:rsidRPr="00E7778C" w:rsidRDefault="00E7778C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Menyusun jadwal pemeliharaan secara periodik</w:t>
            </w:r>
          </w:p>
        </w:tc>
        <w:tc>
          <w:tcPr>
            <w:tcW w:w="1537" w:type="dxa"/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832" w:type="dxa"/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509" w:type="dxa"/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Jadwal pemeliharaan</w:t>
            </w:r>
          </w:p>
        </w:tc>
      </w:tr>
      <w:tr w:rsidR="00E7778C" w:rsidRPr="00E7778C" w:rsidTr="007802AB">
        <w:trPr>
          <w:trHeight w:val="562"/>
        </w:trPr>
        <w:tc>
          <w:tcPr>
            <w:tcW w:w="510" w:type="dxa"/>
          </w:tcPr>
          <w:p w:rsidR="00E7778C" w:rsidRPr="00B06752" w:rsidRDefault="00E7778C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</w:rPr>
              <w:t>3</w:t>
            </w:r>
            <w:r w:rsidR="00B0675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00" w:type="dxa"/>
            <w:vAlign w:val="center"/>
          </w:tcPr>
          <w:p w:rsidR="00E7778C" w:rsidRPr="00E7778C" w:rsidRDefault="00E7778C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Mengajukan pembiayaan dan pengadaan jasa pemeliharaan sarpras</w:t>
            </w:r>
          </w:p>
        </w:tc>
        <w:tc>
          <w:tcPr>
            <w:tcW w:w="1537" w:type="dxa"/>
          </w:tcPr>
          <w:p w:rsidR="00E7778C" w:rsidRPr="00E7778C" w:rsidRDefault="00E7778C" w:rsidP="00CE5F21">
            <w:pPr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832" w:type="dxa"/>
          </w:tcPr>
          <w:p w:rsidR="00E7778C" w:rsidRPr="00E7778C" w:rsidRDefault="00E7778C" w:rsidP="00CE5F21">
            <w:pPr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  <w:tc>
          <w:tcPr>
            <w:tcW w:w="1509" w:type="dxa"/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E7778C" w:rsidRPr="00E7778C" w:rsidTr="007802AB">
        <w:trPr>
          <w:trHeight w:val="562"/>
        </w:trPr>
        <w:tc>
          <w:tcPr>
            <w:tcW w:w="510" w:type="dxa"/>
          </w:tcPr>
          <w:p w:rsidR="00E7778C" w:rsidRPr="00B06752" w:rsidRDefault="00E7778C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</w:rPr>
              <w:t>4</w:t>
            </w:r>
            <w:r w:rsidR="00B0675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00" w:type="dxa"/>
            <w:vAlign w:val="center"/>
          </w:tcPr>
          <w:p w:rsidR="00E7778C" w:rsidRPr="00E7778C" w:rsidRDefault="00E7778C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Memberikan disposisi pengadaan jasa pemeliharaan sarpras</w:t>
            </w:r>
          </w:p>
        </w:tc>
        <w:tc>
          <w:tcPr>
            <w:tcW w:w="1537" w:type="dxa"/>
          </w:tcPr>
          <w:p w:rsidR="00E7778C" w:rsidRPr="00E7778C" w:rsidRDefault="00E7778C" w:rsidP="00CE5F2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832" w:type="dxa"/>
          </w:tcPr>
          <w:p w:rsidR="00E7778C" w:rsidRPr="00E7778C" w:rsidRDefault="00E7778C" w:rsidP="00CE5F2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509" w:type="dxa"/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Disposisi jasa pemeliharaan</w:t>
            </w:r>
          </w:p>
        </w:tc>
      </w:tr>
      <w:tr w:rsidR="00E7778C" w:rsidRPr="00E7778C" w:rsidTr="007802AB">
        <w:trPr>
          <w:trHeight w:val="562"/>
        </w:trPr>
        <w:tc>
          <w:tcPr>
            <w:tcW w:w="510" w:type="dxa"/>
          </w:tcPr>
          <w:p w:rsidR="00E7778C" w:rsidRPr="00B06752" w:rsidRDefault="00E7778C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</w:rPr>
              <w:t>5</w:t>
            </w:r>
            <w:r w:rsidR="00B06752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00" w:type="dxa"/>
            <w:vAlign w:val="center"/>
          </w:tcPr>
          <w:p w:rsidR="00E7778C" w:rsidRPr="00E7778C" w:rsidRDefault="00E7778C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Mengkoordinasikan dengan pihak terkait, perihal pelaksana pemeliharaan</w:t>
            </w:r>
          </w:p>
        </w:tc>
        <w:tc>
          <w:tcPr>
            <w:tcW w:w="1537" w:type="dxa"/>
          </w:tcPr>
          <w:p w:rsidR="00E7778C" w:rsidRPr="00E7778C" w:rsidRDefault="00E7778C" w:rsidP="00CE5F21">
            <w:pPr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832" w:type="dxa"/>
          </w:tcPr>
          <w:p w:rsidR="00E7778C" w:rsidRPr="00E7778C" w:rsidRDefault="00E7778C" w:rsidP="00CE5F21">
            <w:pPr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  <w:tc>
          <w:tcPr>
            <w:tcW w:w="1509" w:type="dxa"/>
            <w:vAlign w:val="center"/>
          </w:tcPr>
          <w:p w:rsidR="00E7778C" w:rsidRPr="00E7778C" w:rsidRDefault="00E7778C" w:rsidP="00CE5F2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802AB" w:rsidRPr="00E7778C" w:rsidTr="007802AB">
        <w:trPr>
          <w:trHeight w:val="562"/>
        </w:trPr>
        <w:tc>
          <w:tcPr>
            <w:tcW w:w="510" w:type="dxa"/>
          </w:tcPr>
          <w:p w:rsidR="007802AB" w:rsidRPr="00E7778C" w:rsidRDefault="007802AB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</w:rPr>
              <w:t>6</w:t>
            </w:r>
            <w:r w:rsidRPr="00E7778C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800" w:type="dxa"/>
            <w:vAlign w:val="center"/>
          </w:tcPr>
          <w:p w:rsidR="007802AB" w:rsidRPr="00E7778C" w:rsidRDefault="007802AB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Melaksanakan pemeliharaan</w:t>
            </w:r>
          </w:p>
        </w:tc>
        <w:tc>
          <w:tcPr>
            <w:tcW w:w="1537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Pihak ketiga</w:t>
            </w:r>
          </w:p>
        </w:tc>
        <w:tc>
          <w:tcPr>
            <w:tcW w:w="1832" w:type="dxa"/>
            <w:vAlign w:val="center"/>
          </w:tcPr>
          <w:p w:rsidR="007802AB" w:rsidRPr="00E7778C" w:rsidRDefault="007802AB" w:rsidP="00C40BCD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509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02AB" w:rsidRPr="00E7778C" w:rsidTr="007802AB">
        <w:trPr>
          <w:trHeight w:val="562"/>
        </w:trPr>
        <w:tc>
          <w:tcPr>
            <w:tcW w:w="510" w:type="dxa"/>
          </w:tcPr>
          <w:p w:rsidR="007802AB" w:rsidRPr="00E7778C" w:rsidRDefault="007802AB" w:rsidP="00B06752">
            <w:pPr>
              <w:pStyle w:val="NoSpacing"/>
              <w:jc w:val="center"/>
              <w:rPr>
                <w:sz w:val="24"/>
                <w:szCs w:val="24"/>
              </w:rPr>
            </w:pPr>
            <w:r w:rsidRPr="00E7778C">
              <w:rPr>
                <w:sz w:val="24"/>
                <w:szCs w:val="24"/>
              </w:rPr>
              <w:t>7.</w:t>
            </w:r>
          </w:p>
        </w:tc>
        <w:tc>
          <w:tcPr>
            <w:tcW w:w="2800" w:type="dxa"/>
            <w:vAlign w:val="center"/>
          </w:tcPr>
          <w:p w:rsidR="007802AB" w:rsidRPr="00E7778C" w:rsidRDefault="007802AB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Mencatat hasil pemeliharaan pada kartu pemeliharaan</w:t>
            </w:r>
          </w:p>
        </w:tc>
        <w:tc>
          <w:tcPr>
            <w:tcW w:w="1537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Pihak ketiga</w:t>
            </w:r>
          </w:p>
        </w:tc>
        <w:tc>
          <w:tcPr>
            <w:tcW w:w="1832" w:type="dxa"/>
            <w:vAlign w:val="center"/>
          </w:tcPr>
          <w:p w:rsidR="007802AB" w:rsidRPr="00E7778C" w:rsidRDefault="007802AB" w:rsidP="00C40BCD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509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Kartu pemeliharaan</w:t>
            </w:r>
          </w:p>
        </w:tc>
      </w:tr>
      <w:tr w:rsidR="007802AB" w:rsidRPr="00E7778C" w:rsidTr="007802AB">
        <w:trPr>
          <w:trHeight w:val="562"/>
        </w:trPr>
        <w:tc>
          <w:tcPr>
            <w:tcW w:w="510" w:type="dxa"/>
          </w:tcPr>
          <w:p w:rsidR="007802AB" w:rsidRPr="00E7778C" w:rsidRDefault="007802AB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800" w:type="dxa"/>
            <w:vAlign w:val="center"/>
          </w:tcPr>
          <w:p w:rsidR="007802AB" w:rsidRPr="00E7778C" w:rsidRDefault="007802AB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Melakukan cek pencatat hasil pemeliharaan sarpras</w:t>
            </w:r>
          </w:p>
        </w:tc>
        <w:tc>
          <w:tcPr>
            <w:tcW w:w="1537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832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509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7802AB" w:rsidRPr="00E7778C" w:rsidTr="007802AB">
        <w:trPr>
          <w:trHeight w:val="562"/>
        </w:trPr>
        <w:tc>
          <w:tcPr>
            <w:tcW w:w="510" w:type="dxa"/>
          </w:tcPr>
          <w:p w:rsidR="007802AB" w:rsidRPr="00E7778C" w:rsidRDefault="007802AB" w:rsidP="00B06752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9.</w:t>
            </w:r>
          </w:p>
        </w:tc>
        <w:tc>
          <w:tcPr>
            <w:tcW w:w="2800" w:type="dxa"/>
            <w:vAlign w:val="center"/>
          </w:tcPr>
          <w:p w:rsidR="007802AB" w:rsidRPr="00B104B4" w:rsidRDefault="007802AB" w:rsidP="00CE5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  <w:lang w:val="id-ID"/>
              </w:rPr>
              <w:t>Melakukan komplain kepada pihak ketiga apabila belum sesuai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melalui Biro Umum</w:t>
            </w:r>
          </w:p>
        </w:tc>
        <w:tc>
          <w:tcPr>
            <w:tcW w:w="1537" w:type="dxa"/>
          </w:tcPr>
          <w:p w:rsidR="007802AB" w:rsidRPr="00E7778C" w:rsidRDefault="007802AB" w:rsidP="00CE5F21">
            <w:pPr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832" w:type="dxa"/>
          </w:tcPr>
          <w:p w:rsidR="007802AB" w:rsidRPr="00E7778C" w:rsidRDefault="007802AB" w:rsidP="00CE5F21">
            <w:pPr>
              <w:rPr>
                <w:rFonts w:ascii="Times New Roman" w:hAnsi="Times New Roman"/>
                <w:sz w:val="24"/>
                <w:szCs w:val="24"/>
              </w:rPr>
            </w:pPr>
            <w:r w:rsidRPr="00E7778C"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  <w:tc>
          <w:tcPr>
            <w:tcW w:w="1509" w:type="dxa"/>
            <w:vAlign w:val="center"/>
          </w:tcPr>
          <w:p w:rsidR="007802AB" w:rsidRPr="00E7778C" w:rsidRDefault="007802AB" w:rsidP="00CE5F2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E7778C">
              <w:rPr>
                <w:sz w:val="24"/>
                <w:szCs w:val="24"/>
                <w:lang w:val="id-ID"/>
              </w:rPr>
              <w:t>Surat komplain</w:t>
            </w:r>
          </w:p>
        </w:tc>
      </w:tr>
    </w:tbl>
    <w:p w:rsidR="00E7778C" w:rsidRPr="00F20E1B" w:rsidRDefault="00E7778C" w:rsidP="00E7778C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sv-SE"/>
        </w:rPr>
      </w:pPr>
    </w:p>
    <w:p w:rsidR="00212EC6" w:rsidRDefault="00212EC6" w:rsidP="000330D2">
      <w:pPr>
        <w:rPr>
          <w:rFonts w:ascii="Times New Roman" w:hAnsi="Times New Roman"/>
        </w:rPr>
      </w:pPr>
    </w:p>
    <w:p w:rsidR="008730D2" w:rsidRDefault="008730D2" w:rsidP="000330D2"/>
    <w:p w:rsidR="00212EC6" w:rsidRDefault="00212EC6" w:rsidP="000330D2">
      <w:pPr>
        <w:rPr>
          <w:rFonts w:ascii="Times New Roman" w:hAnsi="Times New Roman"/>
        </w:rPr>
      </w:pPr>
    </w:p>
    <w:p w:rsidR="008730D2" w:rsidRDefault="008730D2" w:rsidP="000330D2">
      <w:pPr>
        <w:rPr>
          <w:rFonts w:ascii="Times New Roman" w:hAnsi="Times New Roman"/>
        </w:rPr>
      </w:pPr>
    </w:p>
    <w:p w:rsidR="008730D2" w:rsidRDefault="008730D2" w:rsidP="000330D2">
      <w:pPr>
        <w:rPr>
          <w:rFonts w:ascii="Times New Roman" w:hAnsi="Times New Roman"/>
        </w:rPr>
      </w:pPr>
      <w:r w:rsidRPr="008730D2">
        <w:rPr>
          <w:noProof/>
        </w:rPr>
        <w:lastRenderedPageBreak/>
        <w:drawing>
          <wp:inline distT="0" distB="0" distL="0" distR="0">
            <wp:extent cx="5039995" cy="5612868"/>
            <wp:effectExtent l="19050" t="0" r="8255" b="0"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61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C6" w:rsidRDefault="00212EC6" w:rsidP="000330D2">
      <w:pPr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sectPr w:rsidR="00212EC6" w:rsidSect="00F73D8C">
      <w:head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FB" w:rsidRDefault="008E7BFB" w:rsidP="00B92E57">
      <w:pPr>
        <w:spacing w:after="0" w:line="240" w:lineRule="auto"/>
      </w:pPr>
      <w:r>
        <w:separator/>
      </w:r>
    </w:p>
  </w:endnote>
  <w:endnote w:type="continuationSeparator" w:id="1">
    <w:p w:rsidR="008E7BFB" w:rsidRDefault="008E7BFB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FB" w:rsidRDefault="008E7BFB" w:rsidP="00B92E57">
      <w:pPr>
        <w:spacing w:after="0" w:line="240" w:lineRule="auto"/>
      </w:pPr>
      <w:r>
        <w:separator/>
      </w:r>
    </w:p>
  </w:footnote>
  <w:footnote w:type="continuationSeparator" w:id="1">
    <w:p w:rsidR="008E7BFB" w:rsidRDefault="008E7BFB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73" w:rsidRDefault="009A5673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034D28" w:rsidRPr="00212745" w:rsidTr="00034D28">
      <w:trPr>
        <w:trHeight w:val="1348"/>
      </w:trPr>
      <w:tc>
        <w:tcPr>
          <w:tcW w:w="2694" w:type="dxa"/>
          <w:gridSpan w:val="2"/>
          <w:vMerge w:val="restart"/>
          <w:vAlign w:val="center"/>
        </w:tcPr>
        <w:p w:rsidR="00034D28" w:rsidRPr="007B1595" w:rsidRDefault="00034D28" w:rsidP="00034D28">
          <w:pPr>
            <w:spacing w:after="0" w:line="240" w:lineRule="auto"/>
            <w:ind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034D2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1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034D28" w:rsidRPr="00260068" w:rsidRDefault="00034D28" w:rsidP="00034D28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034D28" w:rsidRPr="00D45EEF" w:rsidRDefault="00034D28" w:rsidP="00034D28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034D28" w:rsidRPr="00212745" w:rsidTr="00034D28">
      <w:trPr>
        <w:trHeight w:val="644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034D28" w:rsidRPr="007B1595" w:rsidRDefault="00034D28" w:rsidP="005A3C11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034D28" w:rsidRPr="00D45EEF" w:rsidRDefault="00034D28" w:rsidP="00D45EEF">
          <w:pPr>
            <w:spacing w:after="0" w:line="240" w:lineRule="auto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83248A" w:rsidRPr="00212745" w:rsidTr="005A3C11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83248A" w:rsidRPr="00EA47AE" w:rsidRDefault="0083248A" w:rsidP="005A3C1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83248A" w:rsidRPr="00A069E2" w:rsidTr="005A3C11">
      <w:trPr>
        <w:trHeight w:val="70"/>
      </w:trPr>
      <w:tc>
        <w:tcPr>
          <w:tcW w:w="1135" w:type="dxa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069E2">
            <w:rPr>
              <w:rFonts w:ascii="Times New Roman" w:hAnsi="Times New Roman"/>
              <w:sz w:val="24"/>
              <w:szCs w:val="24"/>
            </w:rPr>
            <w:t>Nomor</w:t>
          </w:r>
        </w:p>
      </w:tc>
      <w:tc>
        <w:tcPr>
          <w:tcW w:w="1559" w:type="dxa"/>
          <w:vAlign w:val="center"/>
        </w:tcPr>
        <w:p w:rsidR="0083248A" w:rsidRPr="00034D28" w:rsidRDefault="00034D28" w:rsidP="005A3C11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PM_04_04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83248A" w:rsidRPr="000E012F" w:rsidRDefault="0083248A" w:rsidP="0083248A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PEMELIHARAAN SARPRAS</w:t>
          </w:r>
        </w:p>
      </w:tc>
    </w:tr>
    <w:tr w:rsidR="0083248A" w:rsidRPr="00A069E2" w:rsidTr="005A3C11">
      <w:trPr>
        <w:trHeight w:val="189"/>
      </w:trPr>
      <w:tc>
        <w:tcPr>
          <w:tcW w:w="1135" w:type="dxa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83248A" w:rsidRPr="00A069E2" w:rsidRDefault="00034D28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83248A" w:rsidRPr="00A069E2" w:rsidTr="005A3C11">
      <w:trPr>
        <w:trHeight w:val="93"/>
      </w:trPr>
      <w:tc>
        <w:tcPr>
          <w:tcW w:w="1135" w:type="dxa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069E2">
            <w:rPr>
              <w:rFonts w:ascii="Times New Roman" w:hAnsi="Times New Roman"/>
              <w:sz w:val="24"/>
              <w:szCs w:val="24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83248A" w:rsidRPr="00A069E2" w:rsidTr="005A3C11">
      <w:trPr>
        <w:trHeight w:val="70"/>
      </w:trPr>
      <w:tc>
        <w:tcPr>
          <w:tcW w:w="1135" w:type="dxa"/>
          <w:vAlign w:val="center"/>
        </w:tcPr>
        <w:p w:rsidR="0083248A" w:rsidRPr="00A069E2" w:rsidRDefault="0083248A" w:rsidP="005A3C1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  <w:r w:rsidRPr="00A069E2">
            <w:rPr>
              <w:rFonts w:ascii="Times New Roman" w:hAnsi="Times New Roman"/>
              <w:sz w:val="24"/>
              <w:szCs w:val="24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Times New Roman" w:hAnsi="Times New Roman"/>
              <w:sz w:val="24"/>
              <w:szCs w:val="24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83248A" w:rsidRPr="00A069E2" w:rsidRDefault="00BF6B27" w:rsidP="005A3C11">
              <w:pPr>
                <w:spacing w:after="0" w:line="240" w:lineRule="auto"/>
                <w:rPr>
                  <w:rFonts w:ascii="Times New Roman" w:hAnsi="Times New Roman"/>
                  <w:sz w:val="24"/>
                  <w:szCs w:val="24"/>
                </w:rPr>
              </w:pP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83248A" w:rsidRPr="00A069E2">
                <w:rPr>
                  <w:rFonts w:ascii="Times New Roman" w:hAnsi="Times New Roman"/>
                  <w:sz w:val="24"/>
                  <w:szCs w:val="24"/>
                </w:rPr>
                <w:instrText xml:space="preserve"> PAGE </w:instrTex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E5791F">
                <w:rPr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="0083248A" w:rsidRPr="00A069E2">
                <w:rPr>
                  <w:rFonts w:ascii="Times New Roman" w:hAnsi="Times New Roman"/>
                  <w:sz w:val="24"/>
                  <w:szCs w:val="24"/>
                </w:rPr>
                <w:t>/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="0083248A" w:rsidRPr="00A069E2">
                <w:rPr>
                  <w:rFonts w:ascii="Times New Roman" w:hAnsi="Times New Roman"/>
                  <w:sz w:val="24"/>
                  <w:szCs w:val="24"/>
                </w:rPr>
                <w:instrText xml:space="preserve"> NUMPAGES  </w:instrTex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E5791F">
                <w:rPr>
                  <w:rFonts w:ascii="Times New Roman" w:hAnsi="Times New Roman"/>
                  <w:noProof/>
                  <w:sz w:val="24"/>
                  <w:szCs w:val="24"/>
                </w:rPr>
                <w:t>3</w:t>
              </w:r>
              <w:r w:rsidRPr="00A069E2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83248A" w:rsidRPr="00A069E2" w:rsidRDefault="0083248A" w:rsidP="005A3C1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</w:tbl>
  <w:p w:rsidR="0083248A" w:rsidRDefault="0083248A">
    <w:pPr>
      <w:pStyle w:val="Header"/>
      <w:rPr>
        <w:lang w:val="id-ID"/>
      </w:rPr>
    </w:pPr>
  </w:p>
  <w:p w:rsidR="0083248A" w:rsidRPr="0083248A" w:rsidRDefault="0083248A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30"/>
  </w:num>
  <w:num w:numId="5">
    <w:abstractNumId w:val="19"/>
  </w:num>
  <w:num w:numId="6">
    <w:abstractNumId w:val="29"/>
  </w:num>
  <w:num w:numId="7">
    <w:abstractNumId w:val="6"/>
  </w:num>
  <w:num w:numId="8">
    <w:abstractNumId w:val="12"/>
  </w:num>
  <w:num w:numId="9">
    <w:abstractNumId w:val="18"/>
  </w:num>
  <w:num w:numId="10">
    <w:abstractNumId w:val="3"/>
  </w:num>
  <w:num w:numId="11">
    <w:abstractNumId w:val="20"/>
  </w:num>
  <w:num w:numId="12">
    <w:abstractNumId w:val="24"/>
  </w:num>
  <w:num w:numId="13">
    <w:abstractNumId w:val="17"/>
  </w:num>
  <w:num w:numId="14">
    <w:abstractNumId w:val="2"/>
  </w:num>
  <w:num w:numId="15">
    <w:abstractNumId w:val="22"/>
  </w:num>
  <w:num w:numId="16">
    <w:abstractNumId w:val="26"/>
  </w:num>
  <w:num w:numId="17">
    <w:abstractNumId w:val="21"/>
  </w:num>
  <w:num w:numId="18">
    <w:abstractNumId w:val="16"/>
  </w:num>
  <w:num w:numId="19">
    <w:abstractNumId w:val="31"/>
  </w:num>
  <w:num w:numId="20">
    <w:abstractNumId w:val="0"/>
  </w:num>
  <w:num w:numId="21">
    <w:abstractNumId w:val="28"/>
  </w:num>
  <w:num w:numId="22">
    <w:abstractNumId w:val="7"/>
  </w:num>
  <w:num w:numId="23">
    <w:abstractNumId w:val="11"/>
  </w:num>
  <w:num w:numId="24">
    <w:abstractNumId w:val="23"/>
  </w:num>
  <w:num w:numId="25">
    <w:abstractNumId w:val="15"/>
  </w:num>
  <w:num w:numId="26">
    <w:abstractNumId w:val="8"/>
  </w:num>
  <w:num w:numId="27">
    <w:abstractNumId w:val="1"/>
  </w:num>
  <w:num w:numId="28">
    <w:abstractNumId w:val="9"/>
  </w:num>
  <w:num w:numId="29">
    <w:abstractNumId w:val="27"/>
  </w:num>
  <w:num w:numId="30">
    <w:abstractNumId w:val="4"/>
  </w:num>
  <w:num w:numId="31">
    <w:abstractNumId w:val="5"/>
  </w:num>
  <w:num w:numId="3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4080"/>
    <w:rsid w:val="0000738B"/>
    <w:rsid w:val="00012DCD"/>
    <w:rsid w:val="0002203B"/>
    <w:rsid w:val="000308B1"/>
    <w:rsid w:val="000330D2"/>
    <w:rsid w:val="00034D28"/>
    <w:rsid w:val="00073C69"/>
    <w:rsid w:val="000A5860"/>
    <w:rsid w:val="000B6FC9"/>
    <w:rsid w:val="000B75D0"/>
    <w:rsid w:val="000C6B1E"/>
    <w:rsid w:val="000E096D"/>
    <w:rsid w:val="00106AF9"/>
    <w:rsid w:val="00120B00"/>
    <w:rsid w:val="001235F3"/>
    <w:rsid w:val="00127864"/>
    <w:rsid w:val="00131241"/>
    <w:rsid w:val="001A7765"/>
    <w:rsid w:val="001C4699"/>
    <w:rsid w:val="00203DF2"/>
    <w:rsid w:val="00212EC6"/>
    <w:rsid w:val="00222C10"/>
    <w:rsid w:val="00223EC2"/>
    <w:rsid w:val="002430F0"/>
    <w:rsid w:val="002476D9"/>
    <w:rsid w:val="00273F35"/>
    <w:rsid w:val="002770FE"/>
    <w:rsid w:val="0029741F"/>
    <w:rsid w:val="0034127F"/>
    <w:rsid w:val="00353EF1"/>
    <w:rsid w:val="00382F43"/>
    <w:rsid w:val="003B7438"/>
    <w:rsid w:val="003C7988"/>
    <w:rsid w:val="003F5FB4"/>
    <w:rsid w:val="004024DA"/>
    <w:rsid w:val="004116FF"/>
    <w:rsid w:val="00432620"/>
    <w:rsid w:val="00461F80"/>
    <w:rsid w:val="004A5C11"/>
    <w:rsid w:val="004B0A4D"/>
    <w:rsid w:val="004C5174"/>
    <w:rsid w:val="00507C87"/>
    <w:rsid w:val="005107B5"/>
    <w:rsid w:val="00513473"/>
    <w:rsid w:val="00537ED5"/>
    <w:rsid w:val="00560EFA"/>
    <w:rsid w:val="005A32D6"/>
    <w:rsid w:val="005B7410"/>
    <w:rsid w:val="005C14CB"/>
    <w:rsid w:val="00611A7C"/>
    <w:rsid w:val="00667C49"/>
    <w:rsid w:val="00674B3A"/>
    <w:rsid w:val="00684E33"/>
    <w:rsid w:val="00695D20"/>
    <w:rsid w:val="006F0126"/>
    <w:rsid w:val="0071153A"/>
    <w:rsid w:val="00735AEF"/>
    <w:rsid w:val="00747413"/>
    <w:rsid w:val="00750EA1"/>
    <w:rsid w:val="00754E67"/>
    <w:rsid w:val="007629A8"/>
    <w:rsid w:val="00764EE4"/>
    <w:rsid w:val="007802AB"/>
    <w:rsid w:val="007853C7"/>
    <w:rsid w:val="00791489"/>
    <w:rsid w:val="00793AB2"/>
    <w:rsid w:val="007A7C7D"/>
    <w:rsid w:val="007E4107"/>
    <w:rsid w:val="007F3E81"/>
    <w:rsid w:val="00811C8F"/>
    <w:rsid w:val="0083248A"/>
    <w:rsid w:val="008730D2"/>
    <w:rsid w:val="008832F9"/>
    <w:rsid w:val="0088552D"/>
    <w:rsid w:val="0089552B"/>
    <w:rsid w:val="008E7BFB"/>
    <w:rsid w:val="008F1A22"/>
    <w:rsid w:val="00922E54"/>
    <w:rsid w:val="00931C9B"/>
    <w:rsid w:val="00952599"/>
    <w:rsid w:val="00953D99"/>
    <w:rsid w:val="009568D2"/>
    <w:rsid w:val="00960FC9"/>
    <w:rsid w:val="009643A1"/>
    <w:rsid w:val="009A28AF"/>
    <w:rsid w:val="009A5673"/>
    <w:rsid w:val="00A20097"/>
    <w:rsid w:val="00A2398A"/>
    <w:rsid w:val="00A31B1F"/>
    <w:rsid w:val="00A526BD"/>
    <w:rsid w:val="00A662C7"/>
    <w:rsid w:val="00A866CB"/>
    <w:rsid w:val="00AA2424"/>
    <w:rsid w:val="00AC4FD4"/>
    <w:rsid w:val="00AF66C7"/>
    <w:rsid w:val="00B03EFD"/>
    <w:rsid w:val="00B06752"/>
    <w:rsid w:val="00B104B4"/>
    <w:rsid w:val="00B176BC"/>
    <w:rsid w:val="00B40A21"/>
    <w:rsid w:val="00B47BEF"/>
    <w:rsid w:val="00B659E7"/>
    <w:rsid w:val="00B75BE3"/>
    <w:rsid w:val="00B82CC9"/>
    <w:rsid w:val="00B92E57"/>
    <w:rsid w:val="00BB0CC2"/>
    <w:rsid w:val="00BB1444"/>
    <w:rsid w:val="00BF6B27"/>
    <w:rsid w:val="00C1760E"/>
    <w:rsid w:val="00C23385"/>
    <w:rsid w:val="00C42512"/>
    <w:rsid w:val="00C675E4"/>
    <w:rsid w:val="00CA51DE"/>
    <w:rsid w:val="00CB3B3C"/>
    <w:rsid w:val="00CB6CBE"/>
    <w:rsid w:val="00CC0A76"/>
    <w:rsid w:val="00D37C5B"/>
    <w:rsid w:val="00D45EEF"/>
    <w:rsid w:val="00D50C2F"/>
    <w:rsid w:val="00D53F67"/>
    <w:rsid w:val="00D55DF5"/>
    <w:rsid w:val="00D637A5"/>
    <w:rsid w:val="00D64CCC"/>
    <w:rsid w:val="00D91C6C"/>
    <w:rsid w:val="00DA3012"/>
    <w:rsid w:val="00DE1CB4"/>
    <w:rsid w:val="00E123EE"/>
    <w:rsid w:val="00E16562"/>
    <w:rsid w:val="00E53EA1"/>
    <w:rsid w:val="00E5791F"/>
    <w:rsid w:val="00E7778C"/>
    <w:rsid w:val="00E838DA"/>
    <w:rsid w:val="00EA7122"/>
    <w:rsid w:val="00F009F6"/>
    <w:rsid w:val="00F20E1B"/>
    <w:rsid w:val="00F338FA"/>
    <w:rsid w:val="00F518EE"/>
    <w:rsid w:val="00F73D8C"/>
    <w:rsid w:val="00F97DCE"/>
    <w:rsid w:val="00FA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99CC-6DCE-4560-B272-FC1ED423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17</cp:revision>
  <cp:lastPrinted>2014-05-13T02:45:00Z</cp:lastPrinted>
  <dcterms:created xsi:type="dcterms:W3CDTF">2014-02-13T12:45:00Z</dcterms:created>
  <dcterms:modified xsi:type="dcterms:W3CDTF">2014-05-13T02:46:00Z</dcterms:modified>
</cp:coreProperties>
</file>